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05" w:rsidRDefault="004E5758" w:rsidP="00833CD1">
      <w:pPr>
        <w:tabs>
          <w:tab w:val="left" w:pos="1418"/>
          <w:tab w:val="left" w:pos="1701"/>
          <w:tab w:val="left" w:pos="5387"/>
          <w:tab w:val="left" w:pos="5670"/>
          <w:tab w:val="left" w:pos="6096"/>
        </w:tabs>
        <w:rPr>
          <w:color w:val="000000"/>
        </w:rPr>
      </w:pPr>
      <w:proofErr w:type="gramStart"/>
      <w:r w:rsidRPr="00F55CCB">
        <w:rPr>
          <w:color w:val="000000"/>
        </w:rPr>
        <w:t>Roma,</w:t>
      </w:r>
      <w:r w:rsidR="008A5B5E" w:rsidRPr="00F55CCB">
        <w:rPr>
          <w:color w:val="000000"/>
        </w:rPr>
        <w:tab/>
      </w:r>
      <w:proofErr w:type="gramEnd"/>
      <w:r w:rsidR="0074629E">
        <w:rPr>
          <w:color w:val="000000"/>
        </w:rPr>
        <w:t>22 Giugno 2017</w:t>
      </w:r>
    </w:p>
    <w:p w:rsidR="00833CD1" w:rsidRPr="00F55CCB" w:rsidRDefault="00833CD1" w:rsidP="00833CD1">
      <w:pPr>
        <w:tabs>
          <w:tab w:val="left" w:pos="1418"/>
          <w:tab w:val="left" w:pos="1701"/>
          <w:tab w:val="left" w:pos="5387"/>
          <w:tab w:val="left" w:pos="5670"/>
          <w:tab w:val="left" w:pos="6096"/>
        </w:tabs>
        <w:rPr>
          <w:color w:val="000000"/>
        </w:rPr>
      </w:pPr>
    </w:p>
    <w:p w:rsidR="00F55CCB" w:rsidRPr="00F55CCB" w:rsidRDefault="004E5758" w:rsidP="00833CD1">
      <w:pPr>
        <w:tabs>
          <w:tab w:val="left" w:pos="1701"/>
          <w:tab w:val="left" w:pos="5670"/>
        </w:tabs>
      </w:pPr>
      <w:proofErr w:type="gramStart"/>
      <w:r w:rsidRPr="00F55CCB">
        <w:rPr>
          <w:color w:val="000000"/>
        </w:rPr>
        <w:t>Protocollo:</w:t>
      </w:r>
      <w:r w:rsidR="002B4B2A" w:rsidRPr="00F55CCB">
        <w:rPr>
          <w:color w:val="000000"/>
        </w:rPr>
        <w:t xml:space="preserve">  </w:t>
      </w:r>
      <w:r w:rsidR="00F55CCB" w:rsidRPr="00F55CCB">
        <w:rPr>
          <w:color w:val="000000"/>
        </w:rPr>
        <w:t xml:space="preserve"> </w:t>
      </w:r>
      <w:proofErr w:type="gramEnd"/>
      <w:r w:rsidR="00F55CCB" w:rsidRPr="00F55CCB">
        <w:rPr>
          <w:color w:val="000000"/>
        </w:rPr>
        <w:t xml:space="preserve">   </w:t>
      </w:r>
      <w:proofErr w:type="spellStart"/>
      <w:r w:rsidR="0074629E">
        <w:rPr>
          <w:color w:val="000000"/>
        </w:rPr>
        <w:t>Segr</w:t>
      </w:r>
      <w:proofErr w:type="spellEnd"/>
      <w:r w:rsidR="0074629E">
        <w:rPr>
          <w:color w:val="000000"/>
        </w:rPr>
        <w:t>./CS/MC/</w:t>
      </w:r>
      <w:proofErr w:type="spellStart"/>
      <w:r w:rsidR="0074629E">
        <w:rPr>
          <w:color w:val="000000"/>
        </w:rPr>
        <w:t>mde</w:t>
      </w:r>
      <w:proofErr w:type="spellEnd"/>
      <w:r w:rsidR="0074629E">
        <w:rPr>
          <w:color w:val="000000"/>
        </w:rPr>
        <w:t>/7615</w:t>
      </w:r>
    </w:p>
    <w:p w:rsidR="0074629E" w:rsidRDefault="001E6D92" w:rsidP="0074629E">
      <w:pPr>
        <w:tabs>
          <w:tab w:val="left" w:pos="1276"/>
          <w:tab w:val="left" w:pos="5670"/>
          <w:tab w:val="left" w:pos="6096"/>
          <w:tab w:val="left" w:pos="6379"/>
          <w:tab w:val="left" w:pos="6663"/>
        </w:tabs>
      </w:pPr>
      <w:r w:rsidRPr="00F55CCB">
        <w:rPr>
          <w:color w:val="000000"/>
        </w:rPr>
        <w:tab/>
      </w:r>
      <w:r w:rsidR="00371860" w:rsidRPr="00F55CCB">
        <w:rPr>
          <w:color w:val="000000"/>
        </w:rPr>
        <w:t xml:space="preserve"> </w:t>
      </w:r>
      <w:r w:rsidR="0074629E">
        <w:rPr>
          <w:color w:val="000000"/>
        </w:rPr>
        <w:tab/>
      </w:r>
      <w:r w:rsidR="0074629E">
        <w:t>Ai Comitati Regionali</w:t>
      </w:r>
    </w:p>
    <w:p w:rsidR="0074629E" w:rsidRDefault="0074629E" w:rsidP="0074629E">
      <w:pPr>
        <w:tabs>
          <w:tab w:val="left" w:pos="1276"/>
          <w:tab w:val="left" w:pos="5670"/>
          <w:tab w:val="left" w:pos="6096"/>
          <w:tab w:val="left" w:pos="6379"/>
          <w:tab w:val="left" w:pos="6663"/>
        </w:tabs>
      </w:pPr>
    </w:p>
    <w:p w:rsidR="0074629E" w:rsidRDefault="0074629E" w:rsidP="0074629E">
      <w:pPr>
        <w:tabs>
          <w:tab w:val="left" w:pos="1276"/>
          <w:tab w:val="left" w:pos="5670"/>
          <w:tab w:val="left" w:pos="6096"/>
          <w:tab w:val="left" w:pos="6379"/>
          <w:tab w:val="left" w:pos="6663"/>
        </w:tabs>
        <w:rPr>
          <w:rFonts w:ascii="Calibri" w:hAnsi="Calibri" w:cs="Arial"/>
        </w:rPr>
      </w:pPr>
      <w:r>
        <w:rPr>
          <w:rFonts w:ascii="Calibri" w:hAnsi="Calibri" w:cs="Arial"/>
        </w:rPr>
        <w:tab/>
      </w:r>
      <w:r>
        <w:rPr>
          <w:rFonts w:ascii="Calibri" w:hAnsi="Calibri" w:cs="Arial"/>
        </w:rPr>
        <w:tab/>
      </w:r>
      <w:r>
        <w:t>Alla Divisione Calcio a Cinque</w:t>
      </w:r>
    </w:p>
    <w:p w:rsidR="0074629E" w:rsidRDefault="0074629E" w:rsidP="0074629E">
      <w:pPr>
        <w:tabs>
          <w:tab w:val="left" w:pos="1276"/>
          <w:tab w:val="left" w:pos="5670"/>
          <w:tab w:val="left" w:pos="6096"/>
          <w:tab w:val="left" w:pos="6379"/>
          <w:tab w:val="left" w:pos="6663"/>
        </w:tabs>
        <w:rPr>
          <w:rFonts w:ascii="Calibri" w:hAnsi="Calibri" w:cs="Arial"/>
        </w:rPr>
      </w:pPr>
    </w:p>
    <w:p w:rsidR="0074629E" w:rsidRDefault="0074629E" w:rsidP="0074629E">
      <w:pPr>
        <w:tabs>
          <w:tab w:val="left" w:pos="1800"/>
          <w:tab w:val="left" w:pos="4536"/>
          <w:tab w:val="left" w:pos="5670"/>
          <w:tab w:val="left" w:pos="6096"/>
        </w:tabs>
        <w:autoSpaceDE w:val="0"/>
        <w:autoSpaceDN w:val="0"/>
        <w:adjustRightInd w:val="0"/>
        <w:jc w:val="both"/>
        <w:rPr>
          <w:bCs/>
        </w:rPr>
      </w:pPr>
      <w:r>
        <w:rPr>
          <w:rFonts w:ascii="Calibri" w:hAnsi="Calibri" w:cs="Arial"/>
        </w:rPr>
        <w:tab/>
      </w:r>
      <w:r>
        <w:rPr>
          <w:rFonts w:ascii="Calibri" w:hAnsi="Calibri" w:cs="Arial"/>
        </w:rPr>
        <w:tab/>
      </w:r>
      <w:r>
        <w:rPr>
          <w:rFonts w:ascii="Calibri" w:hAnsi="Calibri" w:cs="Arial"/>
        </w:rPr>
        <w:tab/>
      </w:r>
      <w:r>
        <w:rPr>
          <w:bCs/>
        </w:rPr>
        <w:t>Al Dipartimento Interregionale</w:t>
      </w:r>
    </w:p>
    <w:p w:rsidR="0074629E" w:rsidRDefault="0074629E" w:rsidP="0074629E">
      <w:pPr>
        <w:tabs>
          <w:tab w:val="left" w:pos="1276"/>
          <w:tab w:val="left" w:pos="4536"/>
          <w:tab w:val="left" w:pos="6096"/>
          <w:tab w:val="left" w:pos="6379"/>
          <w:tab w:val="left" w:pos="6663"/>
        </w:tabs>
      </w:pPr>
      <w:r>
        <w:rPr>
          <w:color w:val="0033CC"/>
        </w:rPr>
        <w:tab/>
      </w:r>
      <w:r>
        <w:tab/>
      </w:r>
    </w:p>
    <w:p w:rsidR="0074629E" w:rsidRDefault="0074629E" w:rsidP="0074629E">
      <w:pPr>
        <w:tabs>
          <w:tab w:val="left" w:pos="1276"/>
          <w:tab w:val="left" w:pos="4536"/>
          <w:tab w:val="left" w:pos="5670"/>
          <w:tab w:val="left" w:pos="6120"/>
          <w:tab w:val="left" w:pos="6379"/>
          <w:tab w:val="left" w:pos="6663"/>
        </w:tabs>
      </w:pPr>
      <w:r>
        <w:tab/>
      </w:r>
      <w:r>
        <w:tab/>
      </w:r>
      <w:r>
        <w:tab/>
      </w:r>
      <w:r>
        <w:rPr>
          <w:bCs/>
        </w:rPr>
        <w:t>Al Dipartimento Calcio Femminile</w:t>
      </w:r>
      <w:r>
        <w:rPr>
          <w:bCs/>
        </w:rPr>
        <w:tab/>
      </w:r>
    </w:p>
    <w:p w:rsidR="0074629E" w:rsidRDefault="0074629E" w:rsidP="0074629E">
      <w:pPr>
        <w:tabs>
          <w:tab w:val="left" w:pos="1800"/>
          <w:tab w:val="left" w:pos="4536"/>
          <w:tab w:val="left" w:pos="6120"/>
        </w:tabs>
        <w:autoSpaceDE w:val="0"/>
        <w:autoSpaceDN w:val="0"/>
        <w:adjustRightInd w:val="0"/>
        <w:jc w:val="both"/>
        <w:rPr>
          <w:bCs/>
        </w:rPr>
      </w:pPr>
    </w:p>
    <w:p w:rsidR="0074629E" w:rsidRDefault="0074629E" w:rsidP="0074629E">
      <w:pPr>
        <w:tabs>
          <w:tab w:val="left" w:pos="1800"/>
          <w:tab w:val="left" w:pos="4536"/>
          <w:tab w:val="left" w:pos="5670"/>
          <w:tab w:val="left" w:pos="6120"/>
        </w:tabs>
        <w:autoSpaceDE w:val="0"/>
        <w:autoSpaceDN w:val="0"/>
        <w:adjustRightInd w:val="0"/>
        <w:jc w:val="both"/>
        <w:rPr>
          <w:bCs/>
          <w:u w:val="single"/>
        </w:rPr>
      </w:pPr>
      <w:r>
        <w:rPr>
          <w:bCs/>
        </w:rPr>
        <w:tab/>
      </w:r>
      <w:r>
        <w:rPr>
          <w:bCs/>
        </w:rPr>
        <w:tab/>
      </w:r>
      <w:r>
        <w:rPr>
          <w:bCs/>
        </w:rPr>
        <w:tab/>
      </w:r>
      <w:r>
        <w:rPr>
          <w:bCs/>
          <w:u w:val="single"/>
        </w:rPr>
        <w:t>LORO SEDI</w:t>
      </w:r>
    </w:p>
    <w:p w:rsidR="0074629E" w:rsidRDefault="0074629E" w:rsidP="0074629E">
      <w:pPr>
        <w:tabs>
          <w:tab w:val="left" w:pos="1800"/>
          <w:tab w:val="left" w:pos="6120"/>
        </w:tabs>
        <w:autoSpaceDE w:val="0"/>
        <w:autoSpaceDN w:val="0"/>
        <w:adjustRightInd w:val="0"/>
        <w:jc w:val="both"/>
        <w:rPr>
          <w:b/>
          <w:bCs/>
        </w:rPr>
      </w:pPr>
      <w:bookmarkStart w:id="0" w:name="_GoBack"/>
      <w:bookmarkEnd w:id="0"/>
    </w:p>
    <w:p w:rsidR="0074629E" w:rsidRDefault="0074629E" w:rsidP="0074629E">
      <w:pPr>
        <w:tabs>
          <w:tab w:val="left" w:pos="1800"/>
          <w:tab w:val="left" w:pos="6120"/>
        </w:tabs>
        <w:autoSpaceDE w:val="0"/>
        <w:autoSpaceDN w:val="0"/>
        <w:adjustRightInd w:val="0"/>
        <w:jc w:val="both"/>
        <w:rPr>
          <w:b/>
          <w:bCs/>
        </w:rPr>
      </w:pPr>
    </w:p>
    <w:p w:rsidR="0074629E" w:rsidRDefault="0074629E" w:rsidP="0074629E">
      <w:pPr>
        <w:tabs>
          <w:tab w:val="left" w:pos="1800"/>
          <w:tab w:val="left" w:pos="6120"/>
        </w:tabs>
        <w:autoSpaceDE w:val="0"/>
        <w:autoSpaceDN w:val="0"/>
        <w:adjustRightInd w:val="0"/>
        <w:jc w:val="both"/>
        <w:rPr>
          <w:b/>
          <w:bCs/>
        </w:rPr>
      </w:pPr>
    </w:p>
    <w:p w:rsidR="0074629E" w:rsidRDefault="0074629E" w:rsidP="0074629E">
      <w:pPr>
        <w:tabs>
          <w:tab w:val="left" w:pos="1800"/>
          <w:tab w:val="left" w:pos="6120"/>
        </w:tabs>
        <w:autoSpaceDE w:val="0"/>
        <w:autoSpaceDN w:val="0"/>
        <w:adjustRightInd w:val="0"/>
        <w:jc w:val="center"/>
        <w:rPr>
          <w:b/>
          <w:bCs/>
          <w:sz w:val="28"/>
          <w:szCs w:val="28"/>
          <w:u w:val="single"/>
        </w:rPr>
      </w:pPr>
      <w:r w:rsidRPr="0074629E">
        <w:rPr>
          <w:b/>
          <w:bCs/>
          <w:sz w:val="28"/>
          <w:szCs w:val="28"/>
          <w:u w:val="single"/>
        </w:rPr>
        <w:t xml:space="preserve">CIRCOLARE n. </w:t>
      </w:r>
      <w:r w:rsidRPr="0074629E">
        <w:rPr>
          <w:b/>
          <w:bCs/>
          <w:sz w:val="28"/>
          <w:szCs w:val="28"/>
          <w:u w:val="single"/>
        </w:rPr>
        <w:t>83</w:t>
      </w:r>
    </w:p>
    <w:p w:rsidR="0074629E" w:rsidRDefault="0074629E" w:rsidP="0074629E">
      <w:pPr>
        <w:jc w:val="both"/>
      </w:pPr>
    </w:p>
    <w:p w:rsidR="0074629E" w:rsidRDefault="0074629E" w:rsidP="0074629E">
      <w:pPr>
        <w:jc w:val="both"/>
      </w:pPr>
    </w:p>
    <w:p w:rsidR="0074629E" w:rsidRDefault="0074629E" w:rsidP="0074629E">
      <w:pPr>
        <w:jc w:val="both"/>
      </w:pPr>
    </w:p>
    <w:p w:rsidR="0074629E" w:rsidRPr="0074629E" w:rsidRDefault="0074629E" w:rsidP="0074629E">
      <w:pPr>
        <w:jc w:val="both"/>
      </w:pPr>
      <w:r w:rsidRPr="0074629E">
        <w:t>Con riferimento alle disposizioni di cui all’art. 118, delle N.O.I.F., nonché alle Circolari L.N.D. n. 38 del 30 Giugno 2011, n. 49 del 15 Giugno 2012, n. 58 del 17 Giugno 2013, n. 61 del 17 Giugno 2014, n. 61 del 24 Giugno 2015 e n. 77 del 17 Giugno 2016, si rappresentano le modalità e le procedure in ordine alla variazione di attività per la Stagione Sportiva 2017/18.</w:t>
      </w:r>
    </w:p>
    <w:p w:rsidR="0074629E" w:rsidRDefault="0074629E" w:rsidP="0074629E">
      <w:pPr>
        <w:jc w:val="both"/>
      </w:pPr>
    </w:p>
    <w:p w:rsidR="0074629E" w:rsidRDefault="0074629E" w:rsidP="0074629E">
      <w:pPr>
        <w:jc w:val="both"/>
      </w:pPr>
      <w:r>
        <w:t>In linea con le disposizioni F.I.F.A., al fine di permettere lo svolgimento di attività di calcio a undici e di calcio a cinque ai calciatori “non professionisti” (art. 29, N.O.I.F.) e “giovani dilettanti” (art.32, N.O.I.F.), è consentita la variazione di attività con i limiti e le modalità fissate dall’art.118, delle N.O.I.F.</w:t>
      </w:r>
    </w:p>
    <w:p w:rsidR="0074629E" w:rsidRDefault="0074629E" w:rsidP="0074629E">
      <w:pPr>
        <w:jc w:val="both"/>
      </w:pPr>
    </w:p>
    <w:p w:rsidR="0074629E" w:rsidRDefault="0074629E" w:rsidP="0074629E">
      <w:pPr>
        <w:jc w:val="both"/>
      </w:pPr>
      <w:r>
        <w:t>E’ quindi consentito:</w:t>
      </w:r>
    </w:p>
    <w:p w:rsidR="0074629E" w:rsidRDefault="0074629E" w:rsidP="0074629E">
      <w:pPr>
        <w:jc w:val="both"/>
      </w:pPr>
      <w:r>
        <w:t>a) ai tesserati per Società di calcio a undici variare l’attività assumendo il tesseramento/vincolo per una diversa Società di calcio a cinque, fermo restando il tesseramento/vincolo con la precedente Società di calcio a undici;</w:t>
      </w:r>
    </w:p>
    <w:p w:rsidR="0074629E" w:rsidRDefault="0074629E" w:rsidP="0074629E">
      <w:pPr>
        <w:jc w:val="both"/>
      </w:pPr>
      <w:r>
        <w:t>b) ai tesserati per Società di calcio a cinque variare l’attività assumendo il tesseramento/vincolo per una diversa Società di calcio a undici, fermo restando il tesseramento/vincolo con la precedente Società di calcio a cinque.</w:t>
      </w:r>
    </w:p>
    <w:p w:rsidR="0074629E" w:rsidRDefault="0074629E" w:rsidP="0074629E">
      <w:pPr>
        <w:jc w:val="both"/>
      </w:pPr>
    </w:p>
    <w:p w:rsidR="0074629E" w:rsidRPr="0074629E" w:rsidRDefault="0074629E" w:rsidP="0074629E">
      <w:pPr>
        <w:jc w:val="both"/>
      </w:pPr>
      <w:r w:rsidRPr="0074629E">
        <w:t xml:space="preserve">La variazione di attività è consentita una sola volta per Stagione Sportiva, nel periodo stabilito annualmente dal Consiglio Federale che – per la Stagione Sportiva 2017/18 – </w:t>
      </w:r>
      <w:r w:rsidRPr="0074629E">
        <w:rPr>
          <w:b/>
          <w:u w:val="single"/>
        </w:rPr>
        <w:t xml:space="preserve">è fissato dal </w:t>
      </w:r>
      <w:r w:rsidRPr="0074629E">
        <w:rPr>
          <w:b/>
          <w:iCs/>
          <w:u w:val="single"/>
        </w:rPr>
        <w:t>1° luglio 2017 al 15 settembre 2017 (ore 19.00)</w:t>
      </w:r>
      <w:r w:rsidRPr="0074629E">
        <w:t xml:space="preserve">. Una volta variata l’attività, il calciatore che intende variare la stessa e, quindi, ripristinare l’originario rapporto con la Società “quiescente”, deve </w:t>
      </w:r>
      <w:r w:rsidRPr="0074629E">
        <w:lastRenderedPageBreak/>
        <w:t>necessariamente attendere la riapertura dei termini previsti per la Stagione Sportiva successiva 2018/19. Qualora la Società “quiescente” abbia cessato definitivamente ogni attività o abbia cessato la sola attività oggetto della ricostituzione del rapporto di tesseramento, il calciatore può aggiornare la sua posizione di tesseramento unicamente a favore di Società che svolgono la medesima attività ripristinata dallo stesso.</w:t>
      </w:r>
    </w:p>
    <w:p w:rsidR="0074629E" w:rsidRDefault="0074629E" w:rsidP="0074629E">
      <w:pPr>
        <w:jc w:val="both"/>
        <w:rPr>
          <w:b/>
          <w:u w:val="single"/>
        </w:rPr>
      </w:pPr>
    </w:p>
    <w:p w:rsidR="0074629E" w:rsidRDefault="0074629E" w:rsidP="0074629E">
      <w:pPr>
        <w:jc w:val="both"/>
        <w:rPr>
          <w:b/>
          <w:u w:val="single"/>
        </w:rPr>
      </w:pPr>
      <w:r>
        <w:rPr>
          <w:b/>
          <w:u w:val="single"/>
        </w:rPr>
        <w:t>Non è consentita la variazione di attività per calciatori che hanno sottoscritto accordi economici ai sensi dell’art. 94 ter, delle N.O.I.F.</w:t>
      </w:r>
    </w:p>
    <w:p w:rsidR="0074629E" w:rsidRDefault="0074629E" w:rsidP="0074629E">
      <w:pPr>
        <w:jc w:val="both"/>
        <w:rPr>
          <w:b/>
          <w:u w:val="single"/>
        </w:rPr>
      </w:pPr>
    </w:p>
    <w:p w:rsidR="0074629E" w:rsidRDefault="0074629E" w:rsidP="0074629E">
      <w:pPr>
        <w:jc w:val="both"/>
        <w:rPr>
          <w:b/>
          <w:u w:val="single"/>
        </w:rPr>
      </w:pPr>
      <w:r>
        <w:rPr>
          <w:b/>
          <w:u w:val="single"/>
        </w:rPr>
        <w:t>Non è consentita la variazione di attività dei calciatori, da e per Società che, nel periodo temporale in cui il tesserato può esercitare il diritto di richiedere tale variazione, hanno un contemporaneo titolo sportivo a partecipare sia ad attività di calcio a undici che di calcio a cinque. In tale ultimo caso, i calciatori non professionisti e giovani dilettanti tesserati per Società che hanno sia attività di Calcio a undici sia attività di Calcio a Cinque possono svolgere entrambe le discipline esclusivamente a favore della Società presso la quale sono tesserati.</w:t>
      </w:r>
    </w:p>
    <w:p w:rsidR="0074629E" w:rsidRDefault="0074629E" w:rsidP="0074629E">
      <w:pPr>
        <w:jc w:val="both"/>
      </w:pPr>
    </w:p>
    <w:p w:rsidR="0074629E" w:rsidRDefault="0074629E" w:rsidP="0074629E">
      <w:pPr>
        <w:jc w:val="both"/>
      </w:pPr>
      <w:r>
        <w:t xml:space="preserve">In linea generale, non è consentita la variazione di attività, da parte dei calciatori, in costanza di una </w:t>
      </w:r>
      <w:r>
        <w:rPr>
          <w:b/>
          <w:u w:val="single"/>
        </w:rPr>
        <w:t>effettiva partecipazione</w:t>
      </w:r>
      <w:r>
        <w:t xml:space="preserve"> al Campionato da parte delle Società che intendono integrare la propria attività agonistica con una nuova disciplina, sia essa di Calcio a undici o di Calcio a Cinque. </w:t>
      </w:r>
      <w:r>
        <w:rPr>
          <w:b/>
          <w:u w:val="single"/>
        </w:rPr>
        <w:t>La semplice iscrizione</w:t>
      </w:r>
      <w:r>
        <w:t xml:space="preserve"> ad un Campionato di Calcio a undici o di Calcio a Cinque, pertanto, non può essere considerata motivo di preclusione per la variazione di attività dei tesserati, se quest’ultima interviene in un periodo temporale in cui gli stessi tesserati esercitano il diritto ex art. 118, N.O.I.F. entro il termine perentorio stabilito annualmente dal Consiglio Federale. </w:t>
      </w:r>
    </w:p>
    <w:p w:rsidR="0074629E" w:rsidRDefault="0074629E" w:rsidP="0074629E">
      <w:pPr>
        <w:jc w:val="both"/>
      </w:pPr>
    </w:p>
    <w:p w:rsidR="0074629E" w:rsidRDefault="0074629E" w:rsidP="0074629E">
      <w:pPr>
        <w:jc w:val="both"/>
        <w:rPr>
          <w:b/>
          <w:dstrike/>
          <w:u w:val="single"/>
        </w:rPr>
      </w:pPr>
      <w:r>
        <w:rPr>
          <w:b/>
          <w:u w:val="single"/>
        </w:rPr>
        <w:t xml:space="preserve">Per i calciatori stranieri tesserati ai sensi degli artt. 40 quater e 40 </w:t>
      </w:r>
      <w:proofErr w:type="spellStart"/>
      <w:r>
        <w:rPr>
          <w:b/>
          <w:u w:val="single"/>
        </w:rPr>
        <w:t>quinquies</w:t>
      </w:r>
      <w:proofErr w:type="spellEnd"/>
      <w:r>
        <w:rPr>
          <w:b/>
          <w:u w:val="single"/>
        </w:rPr>
        <w:t>, delle N.O.I.F., è consentita la variazione di attività, fermi restando i limiti e le condizioni di cui alle sopracitate norme. Per i calciatori stranieri tesserati in ambito dilettantistico con vincolo annuale, il tesseramento in variazione è valido sino al termine della Stagione Sportiva.</w:t>
      </w:r>
    </w:p>
    <w:p w:rsidR="0074629E" w:rsidRDefault="0074629E" w:rsidP="0074629E">
      <w:pPr>
        <w:jc w:val="both"/>
        <w:rPr>
          <w:b/>
        </w:rPr>
      </w:pPr>
    </w:p>
    <w:p w:rsidR="0074629E" w:rsidRDefault="0074629E" w:rsidP="0074629E">
      <w:pPr>
        <w:jc w:val="both"/>
      </w:pPr>
      <w:r>
        <w:t xml:space="preserve">A seguito della prima variazione, la ulteriore richiesta di variazione di attività può essere effettuata </w:t>
      </w:r>
      <w:r w:rsidRPr="0074629E">
        <w:rPr>
          <w:b/>
          <w:u w:val="single"/>
        </w:rPr>
        <w:t>solo a favore</w:t>
      </w:r>
      <w:r>
        <w:t xml:space="preserve"> della Società di calcio a undici o di calcio a cinque per la quale il calciatore risulta tesserato/vincolato in “quiescenza”.</w:t>
      </w:r>
    </w:p>
    <w:p w:rsidR="0074629E" w:rsidRDefault="0074629E" w:rsidP="0074629E">
      <w:pPr>
        <w:jc w:val="both"/>
      </w:pPr>
    </w:p>
    <w:p w:rsidR="0074629E" w:rsidRDefault="0074629E" w:rsidP="0074629E">
      <w:pPr>
        <w:jc w:val="both"/>
      </w:pPr>
      <w:r>
        <w:t xml:space="preserve">I calciatori che hanno variato l’attività possono essere trasferiti a titolo definitivo e/o in prestito, anche nello stesso periodo, </w:t>
      </w:r>
      <w:r>
        <w:rPr>
          <w:b/>
          <w:u w:val="single"/>
        </w:rPr>
        <w:t>solo tra Società “pure”</w:t>
      </w:r>
      <w:r>
        <w:t xml:space="preserve"> che svolgono la medesima attività; per i calciatori che hanno variato l’attività, quindi, non è consentito il trasferimento a favore di Società che svolgono contemporaneamente attività di calcio a undici e calcio a cinque. In proposito, si evidenzia la seguente applicazione pratica della norma generale a casi specifici: </w:t>
      </w:r>
    </w:p>
    <w:p w:rsidR="0074629E" w:rsidRDefault="0074629E" w:rsidP="0074629E">
      <w:pPr>
        <w:jc w:val="both"/>
        <w:rPr>
          <w:b/>
        </w:rPr>
      </w:pPr>
    </w:p>
    <w:p w:rsidR="0074629E" w:rsidRDefault="0074629E" w:rsidP="0074629E">
      <w:pPr>
        <w:numPr>
          <w:ilvl w:val="0"/>
          <w:numId w:val="1"/>
        </w:numPr>
        <w:jc w:val="both"/>
      </w:pPr>
      <w:proofErr w:type="gramStart"/>
      <w:r>
        <w:t>il</w:t>
      </w:r>
      <w:proofErr w:type="gramEnd"/>
      <w:r>
        <w:t xml:space="preserve"> calciatore cambia attività e, successivamente, la Società dell’attività prescelta per la quale si tessera o nella quale viene trasferito integra la propria attività con la partecipazione ad </w:t>
      </w:r>
      <w:r>
        <w:lastRenderedPageBreak/>
        <w:t>un Campionato di una disciplina diversa da quella prescelta dal tesserato: in questo caso, il tesserato può partecipare esclusivamente al Campionato che la Società disputa nell’attività dallo stesso prescelta al momento della variazione di attività.</w:t>
      </w:r>
    </w:p>
    <w:p w:rsidR="0074629E" w:rsidRDefault="0074629E" w:rsidP="0074629E">
      <w:pPr>
        <w:jc w:val="both"/>
      </w:pPr>
    </w:p>
    <w:p w:rsidR="0074629E" w:rsidRDefault="0074629E" w:rsidP="0074629E">
      <w:pPr>
        <w:jc w:val="both"/>
      </w:pPr>
      <w:r>
        <w:t xml:space="preserve">Gli svincoli di cui agli articoli 108, 109 e 111, delle N.O.I.F., hanno validità ed efficacia unicamente in relazione al tesseramento in variazione della Società dell’attività prescelta, e non hanno alcun effetto sul vincolo di tesseramento con la Società dell’attività “quiescente”. Una volta svincolato, il calciatore può aggiornare la sua posizione di tesseramento unicamente a favore di Società “pure” che svolgono la medesima attività dallo stesso prescelta. </w:t>
      </w:r>
    </w:p>
    <w:p w:rsidR="0074629E" w:rsidRDefault="0074629E" w:rsidP="0074629E">
      <w:pPr>
        <w:jc w:val="both"/>
      </w:pPr>
    </w:p>
    <w:p w:rsidR="0074629E" w:rsidRDefault="0074629E" w:rsidP="0074629E">
      <w:pPr>
        <w:jc w:val="both"/>
        <w:rPr>
          <w:b/>
          <w:u w:val="single"/>
        </w:rPr>
      </w:pPr>
      <w:r>
        <w:rPr>
          <w:b/>
          <w:u w:val="single"/>
        </w:rPr>
        <w:t>Fatta salva la previsione di cui all’art. 94 ter, delle N.O.I.F., gli svincoli di cui all’art. 32 bis, delle N.O.I.F., hanno validità ed efficacia sia in relazione al tesseramento in variazione della Società dell’attività prescelta, sia sul vincolo di tesseramento con la Società dell’attività “quiescente”, a condizione che la procedura venga contestualmente attuata sia presso il Comitato, la Divisione Calcio a Cinque o il Dipartimento cui appartiene la Società dell’attività prescelta in variazione, sia presso il Comitato, la Divisione Calcio a Cinque o il Dipartimento cui appartiene la Società dell’attività “quiescente”. In entrambi i casi, valgono le modalità di cui all’art. 32 bis, commi 2 e 3, delle N.O.I.F., con particolare riferimento alla spedizione della raccomandata sia alla Società “quiescente” sia alla Società dell’attività prescelta.</w:t>
      </w:r>
    </w:p>
    <w:p w:rsidR="0074629E" w:rsidRDefault="0074629E" w:rsidP="0074629E">
      <w:pPr>
        <w:jc w:val="both"/>
      </w:pPr>
    </w:p>
    <w:p w:rsidR="0074629E" w:rsidRDefault="0074629E" w:rsidP="0074629E">
      <w:pPr>
        <w:jc w:val="both"/>
      </w:pPr>
      <w:r>
        <w:t xml:space="preserve">Una volta svincolato </w:t>
      </w:r>
      <w:r>
        <w:rPr>
          <w:b/>
          <w:u w:val="single"/>
        </w:rPr>
        <w:t>dalla Società dell’attività prescelta in variazione e dalla Società dell’attività “quiescente”</w:t>
      </w:r>
      <w:r>
        <w:t xml:space="preserve">, il calciatore può aggiornare la sua posizione di tesseramento sia per Società “pure” che per Società che svolgono contemporaneamente attività di calcio a undici e calcio a cinque. </w:t>
      </w:r>
    </w:p>
    <w:p w:rsidR="0074629E" w:rsidRDefault="0074629E" w:rsidP="0074629E">
      <w:pPr>
        <w:jc w:val="both"/>
      </w:pPr>
    </w:p>
    <w:p w:rsidR="0074629E" w:rsidRDefault="0074629E" w:rsidP="0074629E">
      <w:pPr>
        <w:jc w:val="both"/>
      </w:pPr>
      <w:r>
        <w:t>Gli svincoli di cui agli articoli 107 e 110, delle N.O.I.F., hanno validità ed efficacia unicamente in relazione al tesseramento della Società che ha effettuato lo svincolo o che ha cessato l’attività, anche se trattasi di Società dell’attività “quiescente”. Una volta svincolato, il calciatore tesserato in variazione, che intenda nuovamente variare l’attività, potrà effettuare tale variazione con le modalità ed i limiti di cui all’articolo 118, delle N.O.I.F., o aggiornare la sua posizione di tesseramento unicamente a favore di Società “pure” che svolgono la medesima attività dallo stesso prescelta.</w:t>
      </w:r>
    </w:p>
    <w:p w:rsidR="0074629E" w:rsidRDefault="0074629E" w:rsidP="0074629E">
      <w:pPr>
        <w:jc w:val="both"/>
      </w:pPr>
    </w:p>
    <w:p w:rsidR="0074629E" w:rsidRPr="0074629E" w:rsidRDefault="0074629E" w:rsidP="0074629E">
      <w:pPr>
        <w:jc w:val="both"/>
      </w:pPr>
      <w:r w:rsidRPr="0074629E">
        <w:t xml:space="preserve">L’invio o il deposito delle richieste di variazione di attività potrà essere effettuato nei periodi fissati dal Consiglio Federale (per la stagione 2017/18 il periodo stabilito è </w:t>
      </w:r>
      <w:r w:rsidRPr="0074629E">
        <w:rPr>
          <w:b/>
          <w:u w:val="single"/>
        </w:rPr>
        <w:t xml:space="preserve">dal </w:t>
      </w:r>
      <w:r w:rsidRPr="0074629E">
        <w:rPr>
          <w:b/>
          <w:iCs/>
          <w:u w:val="single"/>
        </w:rPr>
        <w:t>1° lu</w:t>
      </w:r>
      <w:r w:rsidRPr="0074629E">
        <w:rPr>
          <w:b/>
          <w:iCs/>
          <w:u w:val="single"/>
        </w:rPr>
        <w:t xml:space="preserve">glio 2017 al 15 settembre 2017, </w:t>
      </w:r>
      <w:r w:rsidRPr="0074629E">
        <w:rPr>
          <w:b/>
          <w:iCs/>
          <w:u w:val="single"/>
        </w:rPr>
        <w:t>ore 19.00</w:t>
      </w:r>
      <w:r w:rsidRPr="0074629E">
        <w:rPr>
          <w:iCs/>
          <w:u w:val="single"/>
        </w:rPr>
        <w:t>)</w:t>
      </w:r>
      <w:r w:rsidRPr="0074629E">
        <w:t xml:space="preserve">, attraverso l’invio dell’apposito modulo federale con le modalità previste dall’art.118, comma 6, delle N.O.I.F., ai Comitati, Divisione Calcio a Cinque o Dipartimenti di competenza. </w:t>
      </w:r>
    </w:p>
    <w:p w:rsidR="0074629E" w:rsidRDefault="0074629E" w:rsidP="0074629E">
      <w:pPr>
        <w:jc w:val="both"/>
      </w:pPr>
    </w:p>
    <w:p w:rsidR="0074629E" w:rsidRDefault="0074629E" w:rsidP="0074629E">
      <w:pPr>
        <w:jc w:val="both"/>
      </w:pPr>
      <w:r>
        <w:rPr>
          <w:b/>
          <w:u w:val="single"/>
        </w:rPr>
        <w:t>La variazione di attività consente al calciatore di svolgere esclusivamente l’attività a favore della Società per la quale ha effettuato la variazione</w:t>
      </w:r>
      <w:r>
        <w:t xml:space="preserve">; il tesseramento a favore della Società per </w:t>
      </w:r>
      <w:r>
        <w:lastRenderedPageBreak/>
        <w:t>la quale è stata inoltrata la variazione decorre dal giorno successivo di invio e/o di deposito dell’apposito modulo federale presso l’Ente di appartenenza della Società interessata.</w:t>
      </w:r>
    </w:p>
    <w:p w:rsidR="0074629E" w:rsidRDefault="0074629E" w:rsidP="0074629E">
      <w:pPr>
        <w:jc w:val="both"/>
      </w:pPr>
      <w:r>
        <w:t xml:space="preserve"> </w:t>
      </w:r>
    </w:p>
    <w:p w:rsidR="0074629E" w:rsidRDefault="0074629E" w:rsidP="0074629E">
      <w:pPr>
        <w:jc w:val="both"/>
      </w:pPr>
      <w:r>
        <w:t xml:space="preserve">I calciatori colpiti da sanzione di squalifica, che hanno cambiato attività ai sensi dell’art. 118, N.O.I.F., scontano le rispettive squalifiche, anche per il solo residuo, con le modalità di cui all’art. 22, comma 6, del Codice di Giustizia Sportiva. </w:t>
      </w:r>
    </w:p>
    <w:p w:rsidR="0074629E" w:rsidRDefault="0074629E" w:rsidP="0074629E">
      <w:pPr>
        <w:jc w:val="both"/>
      </w:pPr>
    </w:p>
    <w:p w:rsidR="0074629E" w:rsidRDefault="0074629E" w:rsidP="0074629E">
      <w:pPr>
        <w:jc w:val="both"/>
      </w:pPr>
      <w:r>
        <w:t xml:space="preserve">Le disposizioni di cui alla presente Circolare </w:t>
      </w:r>
      <w:r>
        <w:rPr>
          <w:b/>
          <w:u w:val="single"/>
        </w:rPr>
        <w:t>si applicano anche alle calciatrici</w:t>
      </w:r>
      <w:r>
        <w:t>.</w:t>
      </w:r>
    </w:p>
    <w:p w:rsidR="0074629E" w:rsidRDefault="0074629E" w:rsidP="0074629E">
      <w:pPr>
        <w:jc w:val="both"/>
        <w:rPr>
          <w:rFonts w:ascii="Verdana" w:hAnsi="Verdana"/>
          <w:sz w:val="20"/>
          <w:szCs w:val="22"/>
        </w:rPr>
      </w:pPr>
    </w:p>
    <w:p w:rsidR="0074629E" w:rsidRDefault="0074629E" w:rsidP="0074629E">
      <w:pPr>
        <w:tabs>
          <w:tab w:val="left" w:pos="1276"/>
          <w:tab w:val="left" w:pos="6663"/>
        </w:tabs>
        <w:jc w:val="both"/>
      </w:pPr>
      <w:r>
        <w:t>Si invitano i Comitati, la Divisione Calcio a Cinque e i Dipartimenti Interregionale e Calcio Femminile a voler dare immediata e puntuale informativa alle rispettive Società dipendenti.</w:t>
      </w:r>
    </w:p>
    <w:p w:rsidR="0074629E" w:rsidRDefault="0074629E" w:rsidP="0074629E">
      <w:pPr>
        <w:tabs>
          <w:tab w:val="left" w:pos="1276"/>
          <w:tab w:val="left" w:pos="6663"/>
        </w:tabs>
        <w:rPr>
          <w:rFonts w:ascii="Roman 10cpi" w:hAnsi="Roman 10cpi"/>
          <w:sz w:val="22"/>
          <w:szCs w:val="22"/>
        </w:rPr>
      </w:pPr>
    </w:p>
    <w:p w:rsidR="0074629E" w:rsidRDefault="0074629E" w:rsidP="0074629E">
      <w:pPr>
        <w:tabs>
          <w:tab w:val="left" w:pos="1276"/>
          <w:tab w:val="left" w:pos="6663"/>
        </w:tabs>
        <w:rPr>
          <w:rFonts w:ascii="Roman 10cpi" w:hAnsi="Roman 10cpi"/>
          <w:sz w:val="22"/>
          <w:szCs w:val="22"/>
        </w:rPr>
      </w:pPr>
    </w:p>
    <w:p w:rsidR="0074629E" w:rsidRDefault="0074629E" w:rsidP="0074629E">
      <w:pPr>
        <w:tabs>
          <w:tab w:val="left" w:pos="1276"/>
          <w:tab w:val="left" w:pos="6663"/>
        </w:tabs>
        <w:rPr>
          <w:sz w:val="22"/>
          <w:szCs w:val="22"/>
        </w:rPr>
      </w:pPr>
    </w:p>
    <w:p w:rsidR="0074629E" w:rsidRDefault="0074629E" w:rsidP="0074629E">
      <w:pPr>
        <w:tabs>
          <w:tab w:val="left" w:pos="1276"/>
          <w:tab w:val="left" w:pos="6663"/>
        </w:tabs>
        <w:rPr>
          <w:sz w:val="22"/>
          <w:szCs w:val="22"/>
        </w:rPr>
      </w:pPr>
    </w:p>
    <w:p w:rsidR="0074629E" w:rsidRDefault="0074629E" w:rsidP="0074629E">
      <w:pPr>
        <w:tabs>
          <w:tab w:val="left" w:pos="1276"/>
          <w:tab w:val="left" w:pos="6663"/>
        </w:tabs>
        <w:rPr>
          <w:sz w:val="22"/>
          <w:szCs w:val="22"/>
        </w:rPr>
      </w:pPr>
    </w:p>
    <w:p w:rsidR="0074629E" w:rsidRDefault="0074629E" w:rsidP="0074629E">
      <w:pPr>
        <w:tabs>
          <w:tab w:val="left" w:pos="1276"/>
          <w:tab w:val="left" w:pos="6663"/>
        </w:tabs>
        <w:rPr>
          <w:sz w:val="22"/>
          <w:szCs w:val="22"/>
        </w:rPr>
      </w:pPr>
    </w:p>
    <w:p w:rsidR="0074629E" w:rsidRDefault="0074629E" w:rsidP="0074629E">
      <w:pPr>
        <w:tabs>
          <w:tab w:val="left" w:pos="1276"/>
          <w:tab w:val="left" w:pos="5245"/>
          <w:tab w:val="left" w:pos="5670"/>
          <w:tab w:val="left" w:pos="6663"/>
        </w:tabs>
      </w:pPr>
      <w:r>
        <w:t xml:space="preserve">  IL SEGRETARIO GENERALE</w:t>
      </w:r>
      <w:r>
        <w:tab/>
        <w:t xml:space="preserve">       </w:t>
      </w:r>
      <w:r>
        <w:tab/>
        <w:t xml:space="preserve">                   IL PRESIDENTE</w:t>
      </w:r>
    </w:p>
    <w:p w:rsidR="0074629E" w:rsidRDefault="0074629E" w:rsidP="0074629E">
      <w:pPr>
        <w:tabs>
          <w:tab w:val="left" w:pos="1276"/>
          <w:tab w:val="left" w:pos="5245"/>
          <w:tab w:val="left" w:pos="6663"/>
        </w:tabs>
      </w:pPr>
      <w:r>
        <w:t xml:space="preserve">          (Massimo </w:t>
      </w:r>
      <w:proofErr w:type="gramStart"/>
      <w:r>
        <w:t xml:space="preserve">Ciaccolini)   </w:t>
      </w:r>
      <w:proofErr w:type="gramEnd"/>
      <w:r>
        <w:t xml:space="preserve">                                                                   (Cosimo </w:t>
      </w:r>
      <w:proofErr w:type="spellStart"/>
      <w:r>
        <w:t>Sibilia</w:t>
      </w:r>
      <w:proofErr w:type="spellEnd"/>
      <w:r>
        <w:t>)</w:t>
      </w:r>
    </w:p>
    <w:p w:rsidR="0074629E" w:rsidRDefault="0074629E" w:rsidP="0074629E">
      <w:pPr>
        <w:tabs>
          <w:tab w:val="left" w:pos="1276"/>
          <w:tab w:val="left" w:pos="5670"/>
          <w:tab w:val="left" w:pos="6096"/>
          <w:tab w:val="left" w:pos="6379"/>
          <w:tab w:val="left" w:pos="6663"/>
        </w:tabs>
        <w:rPr>
          <w:rFonts w:ascii="Calibri" w:hAnsi="Calibri" w:cs="Arial"/>
        </w:rPr>
      </w:pPr>
    </w:p>
    <w:p w:rsidR="0074629E" w:rsidRDefault="0074629E" w:rsidP="0074629E"/>
    <w:p w:rsidR="009A5DAE" w:rsidRPr="00F55CCB" w:rsidRDefault="009A5DAE" w:rsidP="002902C3">
      <w:pPr>
        <w:tabs>
          <w:tab w:val="left" w:pos="1701"/>
          <w:tab w:val="left" w:pos="5670"/>
        </w:tabs>
        <w:rPr>
          <w:color w:val="000000"/>
        </w:rPr>
      </w:pPr>
    </w:p>
    <w:sectPr w:rsidR="009A5DAE" w:rsidRPr="00F55CCB" w:rsidSect="00BE540A">
      <w:headerReference w:type="default" r:id="rId7"/>
      <w:footerReference w:type="default" r:id="rId8"/>
      <w:pgSz w:w="11906" w:h="16838" w:code="9"/>
      <w:pgMar w:top="3056" w:right="1416" w:bottom="215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54" w:rsidRDefault="00685B54">
      <w:r>
        <w:separator/>
      </w:r>
    </w:p>
  </w:endnote>
  <w:endnote w:type="continuationSeparator" w:id="0">
    <w:p w:rsidR="00685B54" w:rsidRDefault="0068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52763"/>
      <w:docPartObj>
        <w:docPartGallery w:val="Page Numbers (Bottom of Page)"/>
        <w:docPartUnique/>
      </w:docPartObj>
    </w:sdtPr>
    <w:sdtContent>
      <w:p w:rsidR="003C0EA8" w:rsidRDefault="003C0EA8">
        <w:pPr>
          <w:pStyle w:val="Pidipagina"/>
          <w:jc w:val="right"/>
        </w:pPr>
        <w:r>
          <w:fldChar w:fldCharType="begin"/>
        </w:r>
        <w:r>
          <w:instrText>PAGE   \* MERGEFORMAT</w:instrText>
        </w:r>
        <w:r>
          <w:fldChar w:fldCharType="separate"/>
        </w:r>
        <w:r>
          <w:rPr>
            <w:noProof/>
          </w:rPr>
          <w:t>3</w:t>
        </w:r>
        <w:r>
          <w:fldChar w:fldCharType="end"/>
        </w:r>
      </w:p>
    </w:sdtContent>
  </w:sdt>
  <w:p w:rsidR="00EB34AC" w:rsidRDefault="00EB34AC" w:rsidP="003F6B66">
    <w:pPr>
      <w:pStyle w:val="Pidipagina"/>
      <w:tabs>
        <w:tab w:val="clear" w:pos="4819"/>
        <w:tab w:val="center" w:pos="36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54" w:rsidRDefault="00685B54">
      <w:r>
        <w:separator/>
      </w:r>
    </w:p>
  </w:footnote>
  <w:footnote w:type="continuationSeparator" w:id="0">
    <w:p w:rsidR="00685B54" w:rsidRDefault="0068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AC" w:rsidRDefault="003F6B66">
    <w:pPr>
      <w:pStyle w:val="Intestazione"/>
    </w:pPr>
    <w:r w:rsidRPr="003F6B66">
      <w:rPr>
        <w:sz w:val="16"/>
        <w:szCs w:val="16"/>
      </w:rPr>
      <w:br/>
    </w:r>
    <w:r w:rsidR="0074629E">
      <w:rPr>
        <w:noProof/>
      </w:rPr>
      <w:drawing>
        <wp:inline distT="0" distB="0" distL="0" distR="0">
          <wp:extent cx="6115050" cy="904875"/>
          <wp:effectExtent l="0" t="0" r="0" b="9525"/>
          <wp:docPr id="1" name="Immagine 1" descr="top-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62E"/>
    <w:multiLevelType w:val="hybridMultilevel"/>
    <w:tmpl w:val="C0D8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F4495"/>
    <w:multiLevelType w:val="hybridMultilevel"/>
    <w:tmpl w:val="91EA47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376103C"/>
    <w:multiLevelType w:val="hybridMultilevel"/>
    <w:tmpl w:val="BC769C7C"/>
    <w:lvl w:ilvl="0" w:tplc="70583C32">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3" w15:restartNumberingAfterBreak="0">
    <w:nsid w:val="36366FE8"/>
    <w:multiLevelType w:val="hybridMultilevel"/>
    <w:tmpl w:val="C72A3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2154131"/>
    <w:multiLevelType w:val="hybridMultilevel"/>
    <w:tmpl w:val="78BC3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0E749A"/>
    <w:multiLevelType w:val="hybridMultilevel"/>
    <w:tmpl w:val="93DE13EA"/>
    <w:lvl w:ilvl="0" w:tplc="E6AAB620">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49"/>
    <w:rsid w:val="00006F51"/>
    <w:rsid w:val="00022847"/>
    <w:rsid w:val="00040E4D"/>
    <w:rsid w:val="00064251"/>
    <w:rsid w:val="00095896"/>
    <w:rsid w:val="000B264B"/>
    <w:rsid w:val="000C3157"/>
    <w:rsid w:val="000E1871"/>
    <w:rsid w:val="000F32CF"/>
    <w:rsid w:val="001027AA"/>
    <w:rsid w:val="00112654"/>
    <w:rsid w:val="001157D2"/>
    <w:rsid w:val="0012414E"/>
    <w:rsid w:val="00135B7B"/>
    <w:rsid w:val="0014320E"/>
    <w:rsid w:val="00146E38"/>
    <w:rsid w:val="0016347E"/>
    <w:rsid w:val="00164727"/>
    <w:rsid w:val="00166205"/>
    <w:rsid w:val="00182DB9"/>
    <w:rsid w:val="00187A40"/>
    <w:rsid w:val="001C1824"/>
    <w:rsid w:val="001D4F8E"/>
    <w:rsid w:val="001D7F98"/>
    <w:rsid w:val="001E0EEE"/>
    <w:rsid w:val="001E6D92"/>
    <w:rsid w:val="001E7D55"/>
    <w:rsid w:val="001F434D"/>
    <w:rsid w:val="00203196"/>
    <w:rsid w:val="00215643"/>
    <w:rsid w:val="00241CD9"/>
    <w:rsid w:val="00256988"/>
    <w:rsid w:val="00266FCB"/>
    <w:rsid w:val="002851A1"/>
    <w:rsid w:val="002902C3"/>
    <w:rsid w:val="002B4B2A"/>
    <w:rsid w:val="002D39E5"/>
    <w:rsid w:val="002D4A13"/>
    <w:rsid w:val="002E5527"/>
    <w:rsid w:val="002E5AAA"/>
    <w:rsid w:val="002F766A"/>
    <w:rsid w:val="00307D62"/>
    <w:rsid w:val="00312BFF"/>
    <w:rsid w:val="00363215"/>
    <w:rsid w:val="00371860"/>
    <w:rsid w:val="00383065"/>
    <w:rsid w:val="00393CC5"/>
    <w:rsid w:val="00394A8B"/>
    <w:rsid w:val="00395975"/>
    <w:rsid w:val="003A4454"/>
    <w:rsid w:val="003B6C2A"/>
    <w:rsid w:val="003C0EA8"/>
    <w:rsid w:val="003D0D3B"/>
    <w:rsid w:val="003E35BC"/>
    <w:rsid w:val="003F6B66"/>
    <w:rsid w:val="004005BA"/>
    <w:rsid w:val="0040100C"/>
    <w:rsid w:val="00410EBB"/>
    <w:rsid w:val="00420452"/>
    <w:rsid w:val="004206F1"/>
    <w:rsid w:val="00422A0F"/>
    <w:rsid w:val="00424B10"/>
    <w:rsid w:val="004258E1"/>
    <w:rsid w:val="004339D0"/>
    <w:rsid w:val="00496987"/>
    <w:rsid w:val="004A0A6C"/>
    <w:rsid w:val="004E0F2C"/>
    <w:rsid w:val="004E4EC8"/>
    <w:rsid w:val="004E5758"/>
    <w:rsid w:val="00500A39"/>
    <w:rsid w:val="00532FBB"/>
    <w:rsid w:val="00545602"/>
    <w:rsid w:val="00557227"/>
    <w:rsid w:val="0057200A"/>
    <w:rsid w:val="005947F0"/>
    <w:rsid w:val="005A52F2"/>
    <w:rsid w:val="005B074C"/>
    <w:rsid w:val="005B5B1A"/>
    <w:rsid w:val="005C2A17"/>
    <w:rsid w:val="005D4FCF"/>
    <w:rsid w:val="005E290E"/>
    <w:rsid w:val="005F1E0C"/>
    <w:rsid w:val="00623C65"/>
    <w:rsid w:val="0062773B"/>
    <w:rsid w:val="006421C9"/>
    <w:rsid w:val="0064386C"/>
    <w:rsid w:val="00656929"/>
    <w:rsid w:val="00671BB2"/>
    <w:rsid w:val="00685B54"/>
    <w:rsid w:val="00695CEC"/>
    <w:rsid w:val="00697BE9"/>
    <w:rsid w:val="006B4087"/>
    <w:rsid w:val="006C2289"/>
    <w:rsid w:val="006C553E"/>
    <w:rsid w:val="006E744C"/>
    <w:rsid w:val="00707114"/>
    <w:rsid w:val="00710C94"/>
    <w:rsid w:val="00711A77"/>
    <w:rsid w:val="0074629E"/>
    <w:rsid w:val="00765C74"/>
    <w:rsid w:val="0076630E"/>
    <w:rsid w:val="00782FD2"/>
    <w:rsid w:val="00787730"/>
    <w:rsid w:val="007B3407"/>
    <w:rsid w:val="007B7B49"/>
    <w:rsid w:val="007E2892"/>
    <w:rsid w:val="007F6FA7"/>
    <w:rsid w:val="0081165F"/>
    <w:rsid w:val="008249EA"/>
    <w:rsid w:val="00826D60"/>
    <w:rsid w:val="00833CD1"/>
    <w:rsid w:val="008419CF"/>
    <w:rsid w:val="00844D5F"/>
    <w:rsid w:val="008450E6"/>
    <w:rsid w:val="00854B68"/>
    <w:rsid w:val="00861D9E"/>
    <w:rsid w:val="00866B8C"/>
    <w:rsid w:val="00882C25"/>
    <w:rsid w:val="008A5B5E"/>
    <w:rsid w:val="008B6120"/>
    <w:rsid w:val="008D1D2C"/>
    <w:rsid w:val="009000DF"/>
    <w:rsid w:val="00902A3D"/>
    <w:rsid w:val="00911C66"/>
    <w:rsid w:val="00917690"/>
    <w:rsid w:val="0092612D"/>
    <w:rsid w:val="00946FB3"/>
    <w:rsid w:val="0096588A"/>
    <w:rsid w:val="00973144"/>
    <w:rsid w:val="00990AFB"/>
    <w:rsid w:val="009911B9"/>
    <w:rsid w:val="009A5DAE"/>
    <w:rsid w:val="009B1FB2"/>
    <w:rsid w:val="009C766D"/>
    <w:rsid w:val="009D6EAC"/>
    <w:rsid w:val="009E07EF"/>
    <w:rsid w:val="00A1096E"/>
    <w:rsid w:val="00A161B3"/>
    <w:rsid w:val="00A443E3"/>
    <w:rsid w:val="00A518BE"/>
    <w:rsid w:val="00A60C4E"/>
    <w:rsid w:val="00A74659"/>
    <w:rsid w:val="00A96271"/>
    <w:rsid w:val="00A962EA"/>
    <w:rsid w:val="00A978FD"/>
    <w:rsid w:val="00AA7C3B"/>
    <w:rsid w:val="00AC0C9E"/>
    <w:rsid w:val="00AC2BFE"/>
    <w:rsid w:val="00AD2151"/>
    <w:rsid w:val="00AD433E"/>
    <w:rsid w:val="00AE0D90"/>
    <w:rsid w:val="00AF08EE"/>
    <w:rsid w:val="00B029F1"/>
    <w:rsid w:val="00B06A9E"/>
    <w:rsid w:val="00B1010C"/>
    <w:rsid w:val="00B1196A"/>
    <w:rsid w:val="00B12AC9"/>
    <w:rsid w:val="00B43581"/>
    <w:rsid w:val="00B435BD"/>
    <w:rsid w:val="00B5725F"/>
    <w:rsid w:val="00B63F52"/>
    <w:rsid w:val="00B73C6D"/>
    <w:rsid w:val="00B818B8"/>
    <w:rsid w:val="00B90FBF"/>
    <w:rsid w:val="00BB15C0"/>
    <w:rsid w:val="00BD3DAC"/>
    <w:rsid w:val="00BE540A"/>
    <w:rsid w:val="00C00599"/>
    <w:rsid w:val="00C07029"/>
    <w:rsid w:val="00C11400"/>
    <w:rsid w:val="00C26622"/>
    <w:rsid w:val="00C369D7"/>
    <w:rsid w:val="00C421BC"/>
    <w:rsid w:val="00C53B66"/>
    <w:rsid w:val="00C64DB3"/>
    <w:rsid w:val="00CA72AB"/>
    <w:rsid w:val="00CC1B20"/>
    <w:rsid w:val="00CC555B"/>
    <w:rsid w:val="00CD5690"/>
    <w:rsid w:val="00CE47D7"/>
    <w:rsid w:val="00CF1173"/>
    <w:rsid w:val="00CF2E05"/>
    <w:rsid w:val="00CF421A"/>
    <w:rsid w:val="00D00314"/>
    <w:rsid w:val="00D072C2"/>
    <w:rsid w:val="00D21BAE"/>
    <w:rsid w:val="00D35E48"/>
    <w:rsid w:val="00D54CB9"/>
    <w:rsid w:val="00D774B3"/>
    <w:rsid w:val="00D970CB"/>
    <w:rsid w:val="00DA69FB"/>
    <w:rsid w:val="00DB3EC0"/>
    <w:rsid w:val="00DB6E3A"/>
    <w:rsid w:val="00DC766A"/>
    <w:rsid w:val="00E03368"/>
    <w:rsid w:val="00E1245D"/>
    <w:rsid w:val="00E277F1"/>
    <w:rsid w:val="00E30125"/>
    <w:rsid w:val="00E347BF"/>
    <w:rsid w:val="00E34FA5"/>
    <w:rsid w:val="00E36149"/>
    <w:rsid w:val="00E44C4E"/>
    <w:rsid w:val="00E82A3A"/>
    <w:rsid w:val="00E84145"/>
    <w:rsid w:val="00E93A85"/>
    <w:rsid w:val="00E97560"/>
    <w:rsid w:val="00EB34AC"/>
    <w:rsid w:val="00EC2D3E"/>
    <w:rsid w:val="00EE45B3"/>
    <w:rsid w:val="00EF1FBC"/>
    <w:rsid w:val="00F04445"/>
    <w:rsid w:val="00F3191E"/>
    <w:rsid w:val="00F31BCF"/>
    <w:rsid w:val="00F45AEF"/>
    <w:rsid w:val="00F471D1"/>
    <w:rsid w:val="00F554D9"/>
    <w:rsid w:val="00F55CCB"/>
    <w:rsid w:val="00F7324B"/>
    <w:rsid w:val="00F74320"/>
    <w:rsid w:val="00F87783"/>
    <w:rsid w:val="00FD0386"/>
    <w:rsid w:val="00FD5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EC0D0E-3E27-4583-AEED-E69082D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7B7B49"/>
    <w:pPr>
      <w:tabs>
        <w:tab w:val="center" w:pos="4819"/>
        <w:tab w:val="right" w:pos="9638"/>
      </w:tabs>
    </w:pPr>
  </w:style>
  <w:style w:type="paragraph" w:styleId="Pidipagina">
    <w:name w:val="footer"/>
    <w:basedOn w:val="Normale"/>
    <w:link w:val="PidipaginaCarattere"/>
    <w:uiPriority w:val="99"/>
    <w:rsid w:val="007B7B49"/>
    <w:pPr>
      <w:tabs>
        <w:tab w:val="center" w:pos="4819"/>
        <w:tab w:val="right" w:pos="9638"/>
      </w:tabs>
    </w:pPr>
  </w:style>
  <w:style w:type="paragraph" w:styleId="Testodelblocco">
    <w:name w:val="Block Text"/>
    <w:basedOn w:val="Normale"/>
    <w:semiHidden/>
    <w:unhideWhenUsed/>
    <w:rsid w:val="00500A39"/>
    <w:pPr>
      <w:tabs>
        <w:tab w:val="left" w:pos="900"/>
        <w:tab w:val="left" w:pos="5580"/>
        <w:tab w:val="left" w:pos="6840"/>
      </w:tabs>
      <w:ind w:left="1134" w:right="1134"/>
      <w:jc w:val="both"/>
    </w:pPr>
  </w:style>
  <w:style w:type="paragraph" w:styleId="NormaleWeb">
    <w:name w:val="Normal (Web)"/>
    <w:basedOn w:val="Normale"/>
    <w:uiPriority w:val="99"/>
    <w:unhideWhenUsed/>
    <w:rsid w:val="00500A39"/>
    <w:pPr>
      <w:spacing w:before="100" w:beforeAutospacing="1" w:after="100" w:afterAutospacing="1"/>
    </w:pPr>
  </w:style>
  <w:style w:type="paragraph" w:styleId="Testofumetto">
    <w:name w:val="Balloon Text"/>
    <w:basedOn w:val="Normale"/>
    <w:link w:val="TestofumettoCarattere"/>
    <w:uiPriority w:val="99"/>
    <w:semiHidden/>
    <w:unhideWhenUsed/>
    <w:rsid w:val="00C07029"/>
    <w:rPr>
      <w:rFonts w:ascii="Segoe UI" w:hAnsi="Segoe UI" w:cs="Segoe UI"/>
      <w:sz w:val="18"/>
      <w:szCs w:val="18"/>
    </w:rPr>
  </w:style>
  <w:style w:type="character" w:customStyle="1" w:styleId="TestofumettoCarattere">
    <w:name w:val="Testo fumetto Carattere"/>
    <w:link w:val="Testofumetto"/>
    <w:uiPriority w:val="99"/>
    <w:semiHidden/>
    <w:rsid w:val="00C07029"/>
    <w:rPr>
      <w:rFonts w:ascii="Segoe UI" w:hAnsi="Segoe UI" w:cs="Segoe UI"/>
      <w:sz w:val="18"/>
      <w:szCs w:val="18"/>
    </w:rPr>
  </w:style>
  <w:style w:type="character" w:styleId="Collegamentoipertestuale">
    <w:name w:val="Hyperlink"/>
    <w:uiPriority w:val="99"/>
    <w:unhideWhenUsed/>
    <w:rsid w:val="00E1245D"/>
    <w:rPr>
      <w:color w:val="0563C1"/>
      <w:u w:val="single"/>
    </w:rPr>
  </w:style>
  <w:style w:type="character" w:customStyle="1" w:styleId="PidipaginaCarattere">
    <w:name w:val="Piè di pagina Carattere"/>
    <w:link w:val="Pidipagina"/>
    <w:uiPriority w:val="99"/>
    <w:rsid w:val="005F1E0C"/>
    <w:rPr>
      <w:sz w:val="24"/>
      <w:szCs w:val="24"/>
    </w:rPr>
  </w:style>
  <w:style w:type="paragraph" w:styleId="Paragrafoelenco">
    <w:name w:val="List Paragraph"/>
    <w:basedOn w:val="Normale"/>
    <w:uiPriority w:val="34"/>
    <w:qFormat/>
    <w:rsid w:val="00215643"/>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2257">
      <w:bodyDiv w:val="1"/>
      <w:marLeft w:val="0"/>
      <w:marRight w:val="0"/>
      <w:marTop w:val="0"/>
      <w:marBottom w:val="0"/>
      <w:divBdr>
        <w:top w:val="none" w:sz="0" w:space="0" w:color="auto"/>
        <w:left w:val="none" w:sz="0" w:space="0" w:color="auto"/>
        <w:bottom w:val="none" w:sz="0" w:space="0" w:color="auto"/>
        <w:right w:val="none" w:sz="0" w:space="0" w:color="auto"/>
      </w:divBdr>
    </w:div>
    <w:div w:id="220559816">
      <w:bodyDiv w:val="1"/>
      <w:marLeft w:val="0"/>
      <w:marRight w:val="0"/>
      <w:marTop w:val="0"/>
      <w:marBottom w:val="0"/>
      <w:divBdr>
        <w:top w:val="none" w:sz="0" w:space="0" w:color="auto"/>
        <w:left w:val="none" w:sz="0" w:space="0" w:color="auto"/>
        <w:bottom w:val="none" w:sz="0" w:space="0" w:color="auto"/>
        <w:right w:val="none" w:sz="0" w:space="0" w:color="auto"/>
      </w:divBdr>
    </w:div>
    <w:div w:id="248348220">
      <w:bodyDiv w:val="1"/>
      <w:marLeft w:val="0"/>
      <w:marRight w:val="0"/>
      <w:marTop w:val="0"/>
      <w:marBottom w:val="0"/>
      <w:divBdr>
        <w:top w:val="none" w:sz="0" w:space="0" w:color="auto"/>
        <w:left w:val="none" w:sz="0" w:space="0" w:color="auto"/>
        <w:bottom w:val="none" w:sz="0" w:space="0" w:color="auto"/>
        <w:right w:val="none" w:sz="0" w:space="0" w:color="auto"/>
      </w:divBdr>
    </w:div>
    <w:div w:id="298918743">
      <w:bodyDiv w:val="1"/>
      <w:marLeft w:val="0"/>
      <w:marRight w:val="0"/>
      <w:marTop w:val="0"/>
      <w:marBottom w:val="0"/>
      <w:divBdr>
        <w:top w:val="none" w:sz="0" w:space="0" w:color="auto"/>
        <w:left w:val="none" w:sz="0" w:space="0" w:color="auto"/>
        <w:bottom w:val="none" w:sz="0" w:space="0" w:color="auto"/>
        <w:right w:val="none" w:sz="0" w:space="0" w:color="auto"/>
      </w:divBdr>
    </w:div>
    <w:div w:id="335690497">
      <w:bodyDiv w:val="1"/>
      <w:marLeft w:val="0"/>
      <w:marRight w:val="0"/>
      <w:marTop w:val="0"/>
      <w:marBottom w:val="0"/>
      <w:divBdr>
        <w:top w:val="none" w:sz="0" w:space="0" w:color="auto"/>
        <w:left w:val="none" w:sz="0" w:space="0" w:color="auto"/>
        <w:bottom w:val="none" w:sz="0" w:space="0" w:color="auto"/>
        <w:right w:val="none" w:sz="0" w:space="0" w:color="auto"/>
      </w:divBdr>
    </w:div>
    <w:div w:id="424498636">
      <w:bodyDiv w:val="1"/>
      <w:marLeft w:val="0"/>
      <w:marRight w:val="0"/>
      <w:marTop w:val="0"/>
      <w:marBottom w:val="0"/>
      <w:divBdr>
        <w:top w:val="none" w:sz="0" w:space="0" w:color="auto"/>
        <w:left w:val="none" w:sz="0" w:space="0" w:color="auto"/>
        <w:bottom w:val="none" w:sz="0" w:space="0" w:color="auto"/>
        <w:right w:val="none" w:sz="0" w:space="0" w:color="auto"/>
      </w:divBdr>
    </w:div>
    <w:div w:id="490147819">
      <w:bodyDiv w:val="1"/>
      <w:marLeft w:val="0"/>
      <w:marRight w:val="0"/>
      <w:marTop w:val="0"/>
      <w:marBottom w:val="0"/>
      <w:divBdr>
        <w:top w:val="none" w:sz="0" w:space="0" w:color="auto"/>
        <w:left w:val="none" w:sz="0" w:space="0" w:color="auto"/>
        <w:bottom w:val="none" w:sz="0" w:space="0" w:color="auto"/>
        <w:right w:val="none" w:sz="0" w:space="0" w:color="auto"/>
      </w:divBdr>
    </w:div>
    <w:div w:id="542867010">
      <w:bodyDiv w:val="1"/>
      <w:marLeft w:val="0"/>
      <w:marRight w:val="0"/>
      <w:marTop w:val="0"/>
      <w:marBottom w:val="0"/>
      <w:divBdr>
        <w:top w:val="none" w:sz="0" w:space="0" w:color="auto"/>
        <w:left w:val="none" w:sz="0" w:space="0" w:color="auto"/>
        <w:bottom w:val="none" w:sz="0" w:space="0" w:color="auto"/>
        <w:right w:val="none" w:sz="0" w:space="0" w:color="auto"/>
      </w:divBdr>
    </w:div>
    <w:div w:id="547959795">
      <w:bodyDiv w:val="1"/>
      <w:marLeft w:val="0"/>
      <w:marRight w:val="0"/>
      <w:marTop w:val="0"/>
      <w:marBottom w:val="0"/>
      <w:divBdr>
        <w:top w:val="none" w:sz="0" w:space="0" w:color="auto"/>
        <w:left w:val="none" w:sz="0" w:space="0" w:color="auto"/>
        <w:bottom w:val="none" w:sz="0" w:space="0" w:color="auto"/>
        <w:right w:val="none" w:sz="0" w:space="0" w:color="auto"/>
      </w:divBdr>
    </w:div>
    <w:div w:id="643196104">
      <w:bodyDiv w:val="1"/>
      <w:marLeft w:val="0"/>
      <w:marRight w:val="0"/>
      <w:marTop w:val="0"/>
      <w:marBottom w:val="0"/>
      <w:divBdr>
        <w:top w:val="none" w:sz="0" w:space="0" w:color="auto"/>
        <w:left w:val="none" w:sz="0" w:space="0" w:color="auto"/>
        <w:bottom w:val="none" w:sz="0" w:space="0" w:color="auto"/>
        <w:right w:val="none" w:sz="0" w:space="0" w:color="auto"/>
      </w:divBdr>
    </w:div>
    <w:div w:id="789973826">
      <w:bodyDiv w:val="1"/>
      <w:marLeft w:val="0"/>
      <w:marRight w:val="0"/>
      <w:marTop w:val="0"/>
      <w:marBottom w:val="0"/>
      <w:divBdr>
        <w:top w:val="none" w:sz="0" w:space="0" w:color="auto"/>
        <w:left w:val="none" w:sz="0" w:space="0" w:color="auto"/>
        <w:bottom w:val="none" w:sz="0" w:space="0" w:color="auto"/>
        <w:right w:val="none" w:sz="0" w:space="0" w:color="auto"/>
      </w:divBdr>
    </w:div>
    <w:div w:id="842744021">
      <w:bodyDiv w:val="1"/>
      <w:marLeft w:val="0"/>
      <w:marRight w:val="0"/>
      <w:marTop w:val="0"/>
      <w:marBottom w:val="0"/>
      <w:divBdr>
        <w:top w:val="none" w:sz="0" w:space="0" w:color="auto"/>
        <w:left w:val="none" w:sz="0" w:space="0" w:color="auto"/>
        <w:bottom w:val="none" w:sz="0" w:space="0" w:color="auto"/>
        <w:right w:val="none" w:sz="0" w:space="0" w:color="auto"/>
      </w:divBdr>
    </w:div>
    <w:div w:id="931860241">
      <w:bodyDiv w:val="1"/>
      <w:marLeft w:val="0"/>
      <w:marRight w:val="0"/>
      <w:marTop w:val="0"/>
      <w:marBottom w:val="0"/>
      <w:divBdr>
        <w:top w:val="none" w:sz="0" w:space="0" w:color="auto"/>
        <w:left w:val="none" w:sz="0" w:space="0" w:color="auto"/>
        <w:bottom w:val="none" w:sz="0" w:space="0" w:color="auto"/>
        <w:right w:val="none" w:sz="0" w:space="0" w:color="auto"/>
      </w:divBdr>
    </w:div>
    <w:div w:id="982468246">
      <w:bodyDiv w:val="1"/>
      <w:marLeft w:val="0"/>
      <w:marRight w:val="0"/>
      <w:marTop w:val="0"/>
      <w:marBottom w:val="0"/>
      <w:divBdr>
        <w:top w:val="none" w:sz="0" w:space="0" w:color="auto"/>
        <w:left w:val="none" w:sz="0" w:space="0" w:color="auto"/>
        <w:bottom w:val="none" w:sz="0" w:space="0" w:color="auto"/>
        <w:right w:val="none" w:sz="0" w:space="0" w:color="auto"/>
      </w:divBdr>
    </w:div>
    <w:div w:id="1294553786">
      <w:bodyDiv w:val="1"/>
      <w:marLeft w:val="0"/>
      <w:marRight w:val="0"/>
      <w:marTop w:val="0"/>
      <w:marBottom w:val="0"/>
      <w:divBdr>
        <w:top w:val="none" w:sz="0" w:space="0" w:color="auto"/>
        <w:left w:val="none" w:sz="0" w:space="0" w:color="auto"/>
        <w:bottom w:val="none" w:sz="0" w:space="0" w:color="auto"/>
        <w:right w:val="none" w:sz="0" w:space="0" w:color="auto"/>
      </w:divBdr>
    </w:div>
    <w:div w:id="1509058348">
      <w:bodyDiv w:val="1"/>
      <w:marLeft w:val="0"/>
      <w:marRight w:val="0"/>
      <w:marTop w:val="0"/>
      <w:marBottom w:val="0"/>
      <w:divBdr>
        <w:top w:val="none" w:sz="0" w:space="0" w:color="auto"/>
        <w:left w:val="none" w:sz="0" w:space="0" w:color="auto"/>
        <w:bottom w:val="none" w:sz="0" w:space="0" w:color="auto"/>
        <w:right w:val="none" w:sz="0" w:space="0" w:color="auto"/>
      </w:divBdr>
    </w:div>
    <w:div w:id="1612856625">
      <w:bodyDiv w:val="1"/>
      <w:marLeft w:val="0"/>
      <w:marRight w:val="0"/>
      <w:marTop w:val="0"/>
      <w:marBottom w:val="0"/>
      <w:divBdr>
        <w:top w:val="none" w:sz="0" w:space="0" w:color="auto"/>
        <w:left w:val="none" w:sz="0" w:space="0" w:color="auto"/>
        <w:bottom w:val="none" w:sz="0" w:space="0" w:color="auto"/>
        <w:right w:val="none" w:sz="0" w:space="0" w:color="auto"/>
      </w:divBdr>
    </w:div>
    <w:div w:id="1790471997">
      <w:bodyDiv w:val="1"/>
      <w:marLeft w:val="0"/>
      <w:marRight w:val="0"/>
      <w:marTop w:val="0"/>
      <w:marBottom w:val="0"/>
      <w:divBdr>
        <w:top w:val="none" w:sz="0" w:space="0" w:color="auto"/>
        <w:left w:val="none" w:sz="0" w:space="0" w:color="auto"/>
        <w:bottom w:val="none" w:sz="0" w:space="0" w:color="auto"/>
        <w:right w:val="none" w:sz="0" w:space="0" w:color="auto"/>
      </w:divBdr>
    </w:div>
    <w:div w:id="1793671426">
      <w:bodyDiv w:val="1"/>
      <w:marLeft w:val="0"/>
      <w:marRight w:val="0"/>
      <w:marTop w:val="0"/>
      <w:marBottom w:val="0"/>
      <w:divBdr>
        <w:top w:val="none" w:sz="0" w:space="0" w:color="auto"/>
        <w:left w:val="none" w:sz="0" w:space="0" w:color="auto"/>
        <w:bottom w:val="none" w:sz="0" w:space="0" w:color="auto"/>
        <w:right w:val="none" w:sz="0" w:space="0" w:color="auto"/>
      </w:divBdr>
    </w:div>
    <w:div w:id="1867987308">
      <w:bodyDiv w:val="1"/>
      <w:marLeft w:val="0"/>
      <w:marRight w:val="0"/>
      <w:marTop w:val="0"/>
      <w:marBottom w:val="0"/>
      <w:divBdr>
        <w:top w:val="none" w:sz="0" w:space="0" w:color="auto"/>
        <w:left w:val="none" w:sz="0" w:space="0" w:color="auto"/>
        <w:bottom w:val="none" w:sz="0" w:space="0" w:color="auto"/>
        <w:right w:val="none" w:sz="0" w:space="0" w:color="auto"/>
      </w:divBdr>
    </w:div>
    <w:div w:id="21024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1332</Words>
  <Characters>7594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LND</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dc:creator>
  <cp:keywords/>
  <cp:lastModifiedBy>Mariangela D'Ezio</cp:lastModifiedBy>
  <cp:revision>4</cp:revision>
  <cp:lastPrinted>2017-06-22T07:25:00Z</cp:lastPrinted>
  <dcterms:created xsi:type="dcterms:W3CDTF">2017-06-22T07:24:00Z</dcterms:created>
  <dcterms:modified xsi:type="dcterms:W3CDTF">2017-06-22T07:31:00Z</dcterms:modified>
</cp:coreProperties>
</file>